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4D79" w:rsidRDefault="00BD24DA">
      <w:pPr>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 xml:space="preserve">2 </w:t>
      </w:r>
    </w:p>
    <w:p w:rsidR="00FB4D79" w:rsidRDefault="00BD24DA">
      <w:pPr>
        <w:jc w:val="center"/>
        <w:rPr>
          <w:rFonts w:ascii="Times New Roman" w:eastAsia="方正小标宋简体" w:hAnsi="Times New Roman"/>
          <w:sz w:val="40"/>
          <w:szCs w:val="40"/>
        </w:rPr>
      </w:pPr>
      <w:r>
        <w:rPr>
          <w:rFonts w:ascii="Times New Roman" w:eastAsia="方正小标宋简体" w:hAnsi="Times New Roman" w:hint="eastAsia"/>
          <w:sz w:val="40"/>
          <w:szCs w:val="40"/>
        </w:rPr>
        <w:t>第二十五届全国政协好新闻参评作品推荐表</w:t>
      </w:r>
    </w:p>
    <w:tbl>
      <w:tblPr>
        <w:tblW w:w="8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9"/>
        <w:gridCol w:w="1188"/>
        <w:gridCol w:w="1111"/>
        <w:gridCol w:w="1462"/>
        <w:gridCol w:w="1435"/>
        <w:gridCol w:w="1572"/>
      </w:tblGrid>
      <w:tr w:rsidR="00FB4D79">
        <w:trPr>
          <w:cantSplit/>
          <w:trHeight w:hRule="exact" w:val="579"/>
        </w:trPr>
        <w:tc>
          <w:tcPr>
            <w:tcW w:w="1639" w:type="dxa"/>
            <w:vMerge w:val="restart"/>
            <w:vAlign w:val="center"/>
          </w:tcPr>
          <w:p w:rsidR="00FB4D79" w:rsidRDefault="00BD24DA">
            <w:pPr>
              <w:spacing w:line="4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作品标题</w:t>
            </w:r>
          </w:p>
        </w:tc>
        <w:tc>
          <w:tcPr>
            <w:tcW w:w="3761" w:type="dxa"/>
            <w:gridSpan w:val="3"/>
            <w:vMerge w:val="restart"/>
            <w:vAlign w:val="center"/>
          </w:tcPr>
          <w:p w:rsidR="00FB4D79" w:rsidRDefault="00BD24DA">
            <w:pPr>
              <w:spacing w:line="360" w:lineRule="exact"/>
              <w:rPr>
                <w:rFonts w:ascii="Times New Roman" w:eastAsia="黑体" w:hAnsi="Times New Roman" w:cs="黑体"/>
                <w:color w:val="000000"/>
                <w:sz w:val="28"/>
                <w:szCs w:val="22"/>
              </w:rPr>
            </w:pPr>
            <w:r>
              <w:rPr>
                <w:rFonts w:ascii="Times New Roman" w:eastAsia="仿宋_GB2312" w:hAnsi="Times New Roman" w:cs="仿宋_GB2312" w:hint="eastAsia"/>
                <w:color w:val="000000"/>
                <w:sz w:val="24"/>
                <w:szCs w:val="18"/>
              </w:rPr>
              <w:t>秦事儿“秦”商量——省政协推进建好用好管好“秦商量”协商议政平台综述</w:t>
            </w:r>
          </w:p>
        </w:tc>
        <w:tc>
          <w:tcPr>
            <w:tcW w:w="1435" w:type="dxa"/>
            <w:vAlign w:val="center"/>
          </w:tcPr>
          <w:p w:rsidR="00FB4D79" w:rsidRDefault="00BD24DA">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参评项目</w:t>
            </w:r>
          </w:p>
        </w:tc>
        <w:tc>
          <w:tcPr>
            <w:tcW w:w="1572" w:type="dxa"/>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通讯</w:t>
            </w:r>
          </w:p>
        </w:tc>
      </w:tr>
      <w:tr w:rsidR="00FB4D79">
        <w:trPr>
          <w:cantSplit/>
          <w:trHeight w:hRule="exact" w:val="571"/>
        </w:trPr>
        <w:tc>
          <w:tcPr>
            <w:tcW w:w="1639" w:type="dxa"/>
            <w:vMerge/>
            <w:vAlign w:val="center"/>
          </w:tcPr>
          <w:p w:rsidR="00FB4D79" w:rsidRDefault="00FB4D79">
            <w:pPr>
              <w:spacing w:line="44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FB4D79" w:rsidRDefault="00FB4D79">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FB4D79" w:rsidRDefault="00BD24DA">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刊播介质</w:t>
            </w:r>
          </w:p>
        </w:tc>
        <w:tc>
          <w:tcPr>
            <w:tcW w:w="1572" w:type="dxa"/>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报纸</w:t>
            </w:r>
          </w:p>
        </w:tc>
      </w:tr>
      <w:tr w:rsidR="00FB4D79">
        <w:trPr>
          <w:cantSplit/>
          <w:trHeight w:hRule="exact" w:val="627"/>
        </w:trPr>
        <w:tc>
          <w:tcPr>
            <w:tcW w:w="1639" w:type="dxa"/>
            <w:vMerge/>
            <w:vAlign w:val="center"/>
          </w:tcPr>
          <w:p w:rsidR="00FB4D79" w:rsidRDefault="00FB4D79">
            <w:pPr>
              <w:spacing w:line="44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FB4D79" w:rsidRDefault="00FB4D79">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FB4D79" w:rsidRDefault="00BD24DA">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语种</w:t>
            </w:r>
          </w:p>
        </w:tc>
        <w:tc>
          <w:tcPr>
            <w:tcW w:w="1572" w:type="dxa"/>
            <w:vAlign w:val="center"/>
          </w:tcPr>
          <w:p w:rsidR="00FB4D79" w:rsidRDefault="00BD24DA">
            <w:pPr>
              <w:spacing w:line="400" w:lineRule="exact"/>
              <w:jc w:val="center"/>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w:t>
            </w:r>
          </w:p>
        </w:tc>
      </w:tr>
      <w:tr w:rsidR="00FB4D79">
        <w:trPr>
          <w:trHeight w:val="685"/>
        </w:trPr>
        <w:tc>
          <w:tcPr>
            <w:tcW w:w="1639" w:type="dxa"/>
            <w:vAlign w:val="center"/>
          </w:tcPr>
          <w:p w:rsidR="00FB4D79" w:rsidRDefault="00BD24DA">
            <w:pPr>
              <w:spacing w:line="340" w:lineRule="exact"/>
              <w:jc w:val="center"/>
              <w:rPr>
                <w:rFonts w:ascii="Times New Roman" w:eastAsia="黑体" w:hAnsi="Times New Roman" w:cs="黑体"/>
                <w:color w:val="000000"/>
                <w:spacing w:val="-12"/>
                <w:sz w:val="28"/>
                <w:szCs w:val="22"/>
              </w:rPr>
            </w:pPr>
            <w:r>
              <w:rPr>
                <w:rFonts w:ascii="Times New Roman" w:eastAsia="黑体" w:hAnsi="Times New Roman" w:cs="黑体" w:hint="eastAsia"/>
                <w:color w:val="000000"/>
                <w:spacing w:val="-12"/>
                <w:sz w:val="28"/>
                <w:szCs w:val="22"/>
              </w:rPr>
              <w:t>作</w:t>
            </w:r>
            <w:r>
              <w:rPr>
                <w:rFonts w:ascii="Times New Roman" w:eastAsia="黑体" w:hAnsi="Times New Roman" w:cs="黑体" w:hint="eastAsia"/>
                <w:color w:val="000000"/>
                <w:spacing w:val="-12"/>
                <w:sz w:val="28"/>
                <w:szCs w:val="22"/>
              </w:rPr>
              <w:t xml:space="preserve">  </w:t>
            </w:r>
            <w:r>
              <w:rPr>
                <w:rFonts w:ascii="Times New Roman" w:eastAsia="黑体" w:hAnsi="Times New Roman" w:cs="黑体" w:hint="eastAsia"/>
                <w:color w:val="000000"/>
                <w:spacing w:val="-12"/>
                <w:sz w:val="28"/>
                <w:szCs w:val="22"/>
              </w:rPr>
              <w:t>者</w:t>
            </w:r>
          </w:p>
          <w:p w:rsidR="00FB4D79" w:rsidRDefault="00BD24DA">
            <w:pPr>
              <w:spacing w:line="340" w:lineRule="exact"/>
              <w:jc w:val="center"/>
              <w:rPr>
                <w:rFonts w:ascii="Times New Roman" w:eastAsia="黑体" w:hAnsi="Times New Roman" w:cs="黑体"/>
                <w:color w:val="000000"/>
                <w:spacing w:val="-12"/>
                <w:sz w:val="24"/>
                <w:szCs w:val="22"/>
              </w:rPr>
            </w:pPr>
            <w:r>
              <w:rPr>
                <w:rFonts w:ascii="Times New Roman" w:eastAsia="黑体" w:hAnsi="Times New Roman" w:cs="黑体" w:hint="eastAsia"/>
                <w:color w:val="000000"/>
                <w:spacing w:val="-12"/>
                <w:sz w:val="24"/>
                <w:szCs w:val="22"/>
              </w:rPr>
              <w:t>（主创人员）</w:t>
            </w:r>
          </w:p>
        </w:tc>
        <w:tc>
          <w:tcPr>
            <w:tcW w:w="2299" w:type="dxa"/>
            <w:gridSpan w:val="2"/>
            <w:vAlign w:val="center"/>
          </w:tcPr>
          <w:p w:rsidR="00FB4D79" w:rsidRDefault="00BD24DA">
            <w:pPr>
              <w:spacing w:line="400" w:lineRule="exact"/>
              <w:rPr>
                <w:rFonts w:ascii="Times New Roman" w:eastAsia="仿宋_GB2312" w:hAnsi="Times New Roman" w:cs="仿宋_GB2312"/>
                <w:color w:val="000000"/>
                <w:sz w:val="24"/>
                <w:szCs w:val="18"/>
              </w:rPr>
            </w:pPr>
            <w:proofErr w:type="gramStart"/>
            <w:r>
              <w:rPr>
                <w:rFonts w:ascii="Times New Roman" w:eastAsia="仿宋_GB2312" w:hAnsi="Times New Roman" w:cs="仿宋_GB2312" w:hint="eastAsia"/>
                <w:color w:val="000000"/>
                <w:sz w:val="24"/>
                <w:szCs w:val="18"/>
              </w:rPr>
              <w:t>满淑涵</w:t>
            </w:r>
            <w:proofErr w:type="gramEnd"/>
          </w:p>
        </w:tc>
        <w:tc>
          <w:tcPr>
            <w:tcW w:w="1462" w:type="dxa"/>
            <w:vAlign w:val="center"/>
          </w:tcPr>
          <w:p w:rsidR="00FB4D79" w:rsidRDefault="00BD24DA">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编辑</w:t>
            </w:r>
          </w:p>
        </w:tc>
        <w:tc>
          <w:tcPr>
            <w:tcW w:w="3007" w:type="dxa"/>
            <w:gridSpan w:val="2"/>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刘杰</w:t>
            </w:r>
          </w:p>
        </w:tc>
      </w:tr>
      <w:tr w:rsidR="00FB4D79">
        <w:trPr>
          <w:cantSplit/>
          <w:trHeight w:val="762"/>
        </w:trPr>
        <w:tc>
          <w:tcPr>
            <w:tcW w:w="1639" w:type="dxa"/>
            <w:vAlign w:val="center"/>
          </w:tcPr>
          <w:p w:rsidR="00FB4D79" w:rsidRDefault="00BD24DA">
            <w:pPr>
              <w:spacing w:line="4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刊播单位</w:t>
            </w:r>
          </w:p>
        </w:tc>
        <w:tc>
          <w:tcPr>
            <w:tcW w:w="2299" w:type="dxa"/>
            <w:gridSpan w:val="2"/>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各界导报</w:t>
            </w:r>
          </w:p>
        </w:tc>
        <w:tc>
          <w:tcPr>
            <w:tcW w:w="1462" w:type="dxa"/>
            <w:vAlign w:val="center"/>
          </w:tcPr>
          <w:p w:rsidR="00FB4D79" w:rsidRDefault="00BD24DA">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刊播日期</w:t>
            </w:r>
          </w:p>
        </w:tc>
        <w:tc>
          <w:tcPr>
            <w:tcW w:w="3007" w:type="dxa"/>
            <w:gridSpan w:val="2"/>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2022</w:t>
            </w:r>
            <w:r>
              <w:rPr>
                <w:rFonts w:ascii="Times New Roman" w:eastAsia="仿宋_GB2312" w:hAnsi="Times New Roman" w:cs="仿宋_GB2312" w:hint="eastAsia"/>
                <w:color w:val="000000"/>
                <w:sz w:val="24"/>
                <w:szCs w:val="18"/>
              </w:rPr>
              <w:t>年</w:t>
            </w:r>
            <w:r>
              <w:rPr>
                <w:rFonts w:ascii="Times New Roman" w:eastAsia="仿宋_GB2312" w:hAnsi="Times New Roman" w:cs="仿宋_GB2312" w:hint="eastAsia"/>
                <w:color w:val="000000"/>
                <w:sz w:val="24"/>
                <w:szCs w:val="18"/>
              </w:rPr>
              <w:t>10</w:t>
            </w:r>
            <w:r>
              <w:rPr>
                <w:rFonts w:ascii="Times New Roman" w:eastAsia="仿宋_GB2312" w:hAnsi="Times New Roman" w:cs="仿宋_GB2312" w:hint="eastAsia"/>
                <w:color w:val="000000"/>
                <w:sz w:val="24"/>
                <w:szCs w:val="18"/>
              </w:rPr>
              <w:t>月</w:t>
            </w:r>
            <w:r>
              <w:rPr>
                <w:rFonts w:ascii="Times New Roman" w:eastAsia="仿宋_GB2312" w:hAnsi="Times New Roman" w:cs="仿宋_GB2312" w:hint="eastAsia"/>
                <w:color w:val="000000"/>
                <w:sz w:val="24"/>
                <w:szCs w:val="18"/>
              </w:rPr>
              <w:t>12</w:t>
            </w:r>
            <w:r>
              <w:rPr>
                <w:rFonts w:ascii="Times New Roman" w:eastAsia="仿宋_GB2312" w:hAnsi="Times New Roman" w:cs="仿宋_GB2312" w:hint="eastAsia"/>
                <w:color w:val="000000"/>
                <w:sz w:val="24"/>
                <w:szCs w:val="18"/>
              </w:rPr>
              <w:t>日</w:t>
            </w:r>
          </w:p>
        </w:tc>
      </w:tr>
      <w:tr w:rsidR="00FB4D79">
        <w:trPr>
          <w:cantSplit/>
          <w:trHeight w:hRule="exact" w:val="1140"/>
        </w:trPr>
        <w:tc>
          <w:tcPr>
            <w:tcW w:w="1639" w:type="dxa"/>
            <w:vAlign w:val="center"/>
          </w:tcPr>
          <w:p w:rsidR="00FB4D79" w:rsidRDefault="00BD24DA">
            <w:pPr>
              <w:spacing w:line="3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刊播版面</w:t>
            </w:r>
            <w:r>
              <w:rPr>
                <w:rFonts w:ascii="Times New Roman" w:eastAsia="黑体" w:hAnsi="Times New Roman" w:cs="黑体" w:hint="eastAsia"/>
                <w:color w:val="000000"/>
                <w:spacing w:val="-12"/>
                <w:sz w:val="28"/>
                <w:szCs w:val="22"/>
              </w:rPr>
              <w:t>(</w:t>
            </w:r>
            <w:r>
              <w:rPr>
                <w:rFonts w:ascii="Times New Roman" w:eastAsia="黑体" w:hAnsi="Times New Roman" w:cs="黑体" w:hint="eastAsia"/>
                <w:color w:val="000000"/>
                <w:spacing w:val="-12"/>
                <w:sz w:val="24"/>
                <w:szCs w:val="22"/>
              </w:rPr>
              <w:t>名称和版次</w:t>
            </w:r>
            <w:r>
              <w:rPr>
                <w:rFonts w:ascii="Times New Roman" w:eastAsia="黑体" w:hAnsi="Times New Roman" w:cs="黑体" w:hint="eastAsia"/>
                <w:color w:val="000000"/>
                <w:spacing w:val="-12"/>
                <w:sz w:val="24"/>
                <w:szCs w:val="22"/>
              </w:rPr>
              <w:t>)</w:t>
            </w:r>
          </w:p>
        </w:tc>
        <w:tc>
          <w:tcPr>
            <w:tcW w:w="2299" w:type="dxa"/>
            <w:gridSpan w:val="2"/>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要闻</w:t>
            </w:r>
            <w:r>
              <w:rPr>
                <w:rFonts w:ascii="Times New Roman" w:eastAsia="仿宋_GB2312" w:hAnsi="Times New Roman" w:cs="仿宋_GB2312" w:hint="eastAsia"/>
                <w:color w:val="000000"/>
                <w:sz w:val="24"/>
                <w:szCs w:val="18"/>
              </w:rPr>
              <w:t>1</w:t>
            </w:r>
            <w:r>
              <w:rPr>
                <w:rFonts w:ascii="Times New Roman" w:eastAsia="仿宋_GB2312" w:hAnsi="Times New Roman" w:cs="仿宋_GB2312" w:hint="eastAsia"/>
                <w:color w:val="000000"/>
                <w:sz w:val="24"/>
                <w:szCs w:val="18"/>
              </w:rPr>
              <w:t>版</w:t>
            </w:r>
          </w:p>
        </w:tc>
        <w:tc>
          <w:tcPr>
            <w:tcW w:w="1462" w:type="dxa"/>
            <w:vAlign w:val="center"/>
          </w:tcPr>
          <w:p w:rsidR="00FB4D79" w:rsidRDefault="00BD24DA">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作品字数</w:t>
            </w:r>
          </w:p>
          <w:p w:rsidR="00FB4D79" w:rsidRDefault="00BD24DA">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（时长）</w:t>
            </w:r>
          </w:p>
        </w:tc>
        <w:tc>
          <w:tcPr>
            <w:tcW w:w="3007" w:type="dxa"/>
            <w:gridSpan w:val="2"/>
            <w:vAlign w:val="center"/>
          </w:tcPr>
          <w:p w:rsidR="00FB4D79" w:rsidRDefault="00BD24DA">
            <w:pPr>
              <w:spacing w:line="400" w:lineRule="exact"/>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3585</w:t>
            </w:r>
            <w:r>
              <w:rPr>
                <w:rFonts w:ascii="Times New Roman" w:eastAsia="仿宋_GB2312" w:hAnsi="Times New Roman" w:cs="仿宋_GB2312" w:hint="eastAsia"/>
                <w:color w:val="000000"/>
                <w:sz w:val="24"/>
                <w:szCs w:val="18"/>
              </w:rPr>
              <w:t>字</w:t>
            </w:r>
          </w:p>
        </w:tc>
      </w:tr>
      <w:tr w:rsidR="00FB4D79">
        <w:trPr>
          <w:cantSplit/>
          <w:trHeight w:hRule="exact" w:val="939"/>
        </w:trPr>
        <w:tc>
          <w:tcPr>
            <w:tcW w:w="2827" w:type="dxa"/>
            <w:gridSpan w:val="2"/>
            <w:vAlign w:val="center"/>
          </w:tcPr>
          <w:p w:rsidR="00FB4D79" w:rsidRDefault="00BD24DA">
            <w:pPr>
              <w:spacing w:line="340" w:lineRule="exact"/>
              <w:rPr>
                <w:rFonts w:ascii="Times New Roman" w:hAnsi="Times New Roman"/>
                <w:color w:val="000000"/>
                <w:szCs w:val="21"/>
              </w:rPr>
            </w:pPr>
            <w:r>
              <w:rPr>
                <w:rFonts w:ascii="Times New Roman" w:eastAsia="黑体" w:hAnsi="Times New Roman" w:cs="黑体" w:hint="eastAsia"/>
                <w:color w:val="000000"/>
                <w:sz w:val="28"/>
                <w:szCs w:val="22"/>
              </w:rPr>
              <w:t>新媒体作品填报网址</w:t>
            </w:r>
          </w:p>
        </w:tc>
        <w:tc>
          <w:tcPr>
            <w:tcW w:w="5580" w:type="dxa"/>
            <w:gridSpan w:val="4"/>
            <w:vAlign w:val="center"/>
          </w:tcPr>
          <w:p w:rsidR="00FB4D79" w:rsidRDefault="00BD24DA">
            <w:pPr>
              <w:spacing w:line="400" w:lineRule="exact"/>
              <w:rPr>
                <w:rFonts w:ascii="Times New Roman" w:eastAsia="华文中宋" w:hAnsi="Times New Roman"/>
                <w:color w:val="000000"/>
                <w:sz w:val="28"/>
                <w:szCs w:val="22"/>
              </w:rPr>
            </w:pPr>
            <w:hyperlink r:id="rId7" w:history="1">
              <w:r>
                <w:rPr>
                  <w:rStyle w:val="a5"/>
                  <w:rFonts w:ascii="Times New Roman" w:eastAsia="华文中宋" w:hAnsi="Times New Roman" w:hint="eastAsia"/>
                  <w:sz w:val="24"/>
                </w:rPr>
                <w:t>http://paper.gjnews.cn/gjdb/20221012/html/content_20221012001002.htm</w:t>
              </w:r>
            </w:hyperlink>
          </w:p>
        </w:tc>
      </w:tr>
      <w:tr w:rsidR="00FB4D79">
        <w:trPr>
          <w:cantSplit/>
          <w:trHeight w:val="4998"/>
        </w:trPr>
        <w:tc>
          <w:tcPr>
            <w:tcW w:w="1639" w:type="dxa"/>
            <w:vAlign w:val="center"/>
          </w:tcPr>
          <w:p w:rsidR="00FB4D79" w:rsidRDefault="00BD24DA">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p w:rsidR="00FB4D79" w:rsidRDefault="00BD24DA">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作采</w:t>
            </w:r>
          </w:p>
          <w:p w:rsidR="00FB4D79" w:rsidRDefault="00BD24DA">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品编</w:t>
            </w:r>
          </w:p>
          <w:p w:rsidR="00FB4D79" w:rsidRDefault="00BD24DA">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简过</w:t>
            </w:r>
          </w:p>
          <w:p w:rsidR="00FB4D79" w:rsidRDefault="00BD24DA">
            <w:pPr>
              <w:spacing w:line="34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介</w:t>
            </w:r>
            <w:proofErr w:type="gramEnd"/>
            <w:r>
              <w:rPr>
                <w:rFonts w:ascii="Times New Roman" w:eastAsia="黑体" w:hAnsi="Times New Roman" w:cs="黑体" w:hint="eastAsia"/>
                <w:color w:val="000000"/>
                <w:sz w:val="28"/>
                <w:szCs w:val="22"/>
              </w:rPr>
              <w:t>程</w:t>
            </w:r>
          </w:p>
          <w:p w:rsidR="00FB4D79" w:rsidRDefault="00BD24DA">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tc>
        <w:tc>
          <w:tcPr>
            <w:tcW w:w="6768" w:type="dxa"/>
            <w:gridSpan w:val="5"/>
            <w:vAlign w:val="center"/>
          </w:tcPr>
          <w:p w:rsidR="00FB4D79" w:rsidRDefault="00BD24DA">
            <w:pPr>
              <w:spacing w:line="400" w:lineRule="exact"/>
              <w:ind w:firstLineChars="200" w:firstLine="480"/>
              <w:rPr>
                <w:rFonts w:ascii="Times New Roman" w:eastAsia="仿宋_GB2312" w:hAnsi="Times New Roman" w:cs="仿宋_GB2312"/>
                <w:color w:val="000000"/>
                <w:sz w:val="24"/>
                <w:szCs w:val="18"/>
              </w:rPr>
            </w:pPr>
            <w:r>
              <w:rPr>
                <w:rFonts w:ascii="Times New Roman" w:eastAsia="仿宋_GB2312" w:hAnsi="Times New Roman" w:cs="仿宋_GB2312" w:hint="eastAsia"/>
                <w:color w:val="000000"/>
                <w:sz w:val="24"/>
                <w:szCs w:val="18"/>
              </w:rPr>
              <w:t>“秦商量”协商议政平台建设是陕西省政协深入学习贯彻习近平总书记关于加强和改进人民政协工作的重要思想，准确把握“有事好商量、众人的事情由众人商量”要求的一次创新实践，旨在打造成委员履职的“好帮手”、服务群众的“连心桥”。</w:t>
            </w:r>
          </w:p>
          <w:p w:rsidR="00FB4D79" w:rsidRDefault="00BD24DA">
            <w:pPr>
              <w:spacing w:line="400" w:lineRule="exact"/>
              <w:ind w:firstLineChars="200" w:firstLine="480"/>
              <w:rPr>
                <w:rFonts w:ascii="Times New Roman" w:eastAsia="仿宋_GB2312" w:hAnsi="Times New Roman" w:cs="仿宋_GB2312"/>
                <w:color w:val="000000"/>
                <w:w w:val="95"/>
                <w:szCs w:val="21"/>
              </w:rPr>
            </w:pPr>
            <w:r>
              <w:rPr>
                <w:rFonts w:ascii="Times New Roman" w:eastAsia="仿宋_GB2312" w:hAnsi="Times New Roman" w:cs="仿宋_GB2312" w:hint="eastAsia"/>
                <w:color w:val="000000"/>
                <w:sz w:val="24"/>
                <w:szCs w:val="18"/>
              </w:rPr>
              <w:t>记者关注到平台建好、用好、管好过程，主动</w:t>
            </w:r>
            <w:proofErr w:type="gramStart"/>
            <w:r>
              <w:rPr>
                <w:rFonts w:ascii="Times New Roman" w:eastAsia="仿宋_GB2312" w:hAnsi="Times New Roman" w:cs="仿宋_GB2312" w:hint="eastAsia"/>
                <w:color w:val="000000"/>
                <w:sz w:val="24"/>
                <w:szCs w:val="18"/>
              </w:rPr>
              <w:t>践行</w:t>
            </w:r>
            <w:proofErr w:type="gramEnd"/>
            <w:r>
              <w:rPr>
                <w:rFonts w:ascii="Times New Roman" w:eastAsia="仿宋_GB2312" w:hAnsi="Times New Roman" w:cs="仿宋_GB2312" w:hint="eastAsia"/>
                <w:color w:val="000000"/>
                <w:sz w:val="24"/>
                <w:szCs w:val="18"/>
              </w:rPr>
              <w:t>“走转改”“三贴近”，关注政协“大事要事”，也关注双向发力新经验、新进展、新成果，真实记录人民政协切实担负起“落实下去、凝聚起来”的政治责任，紧扣重点工作，展现履职成果，</w:t>
            </w:r>
            <w:proofErr w:type="gramStart"/>
            <w:r>
              <w:rPr>
                <w:rFonts w:ascii="Times New Roman" w:eastAsia="仿宋_GB2312" w:hAnsi="Times New Roman" w:cs="仿宋_GB2312" w:hint="eastAsia"/>
                <w:color w:val="000000"/>
                <w:sz w:val="24"/>
                <w:szCs w:val="18"/>
              </w:rPr>
              <w:t>传播正</w:t>
            </w:r>
            <w:proofErr w:type="gramEnd"/>
            <w:r>
              <w:rPr>
                <w:rFonts w:ascii="Times New Roman" w:eastAsia="仿宋_GB2312" w:hAnsi="Times New Roman" w:cs="仿宋_GB2312" w:hint="eastAsia"/>
                <w:color w:val="000000"/>
                <w:sz w:val="24"/>
                <w:szCs w:val="18"/>
              </w:rPr>
              <w:t>能量，唱响主旋律，从小切口窥见全省人民政协事业蓬勃发展的新气象、新局面。</w:t>
            </w:r>
          </w:p>
        </w:tc>
      </w:tr>
      <w:tr w:rsidR="00FB4D79">
        <w:trPr>
          <w:cantSplit/>
          <w:trHeight w:hRule="exact" w:val="1968"/>
        </w:trPr>
        <w:tc>
          <w:tcPr>
            <w:tcW w:w="1639" w:type="dxa"/>
            <w:vAlign w:val="center"/>
          </w:tcPr>
          <w:p w:rsidR="00FB4D79" w:rsidRDefault="00BD24DA">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社</w:t>
            </w:r>
          </w:p>
          <w:p w:rsidR="00FB4D79" w:rsidRDefault="00BD24DA">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会</w:t>
            </w:r>
          </w:p>
          <w:p w:rsidR="00FB4D79" w:rsidRDefault="00BD24DA">
            <w:pPr>
              <w:spacing w:line="38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效</w:t>
            </w:r>
            <w:proofErr w:type="gramEnd"/>
          </w:p>
          <w:p w:rsidR="00FB4D79" w:rsidRDefault="00BD24DA">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果</w:t>
            </w:r>
          </w:p>
        </w:tc>
        <w:tc>
          <w:tcPr>
            <w:tcW w:w="6768" w:type="dxa"/>
            <w:gridSpan w:val="5"/>
            <w:vAlign w:val="center"/>
          </w:tcPr>
          <w:p w:rsidR="00FB4D79" w:rsidRDefault="00BD24DA">
            <w:pPr>
              <w:spacing w:line="400" w:lineRule="exact"/>
              <w:ind w:firstLineChars="200" w:firstLine="480"/>
              <w:rPr>
                <w:rFonts w:ascii="Times New Roman" w:eastAsia="仿宋_GB2312" w:hAnsi="Times New Roman" w:cs="仿宋_GB2312"/>
                <w:color w:val="000000"/>
                <w:szCs w:val="21"/>
              </w:rPr>
            </w:pPr>
            <w:r>
              <w:rPr>
                <w:rFonts w:ascii="Times New Roman" w:eastAsia="仿宋_GB2312" w:hAnsi="Times New Roman" w:cs="仿宋_GB2312" w:hint="eastAsia"/>
                <w:color w:val="000000"/>
                <w:sz w:val="24"/>
                <w:szCs w:val="18"/>
              </w:rPr>
              <w:t>作品经各界导报各平台刊发后，社会反响良好，广受好评，后被人民政协报陕西日报等媒体二次采写，基层政协广泛转发，起到了为“秦商量”履职品牌建设加油鼓劲的作用。</w:t>
            </w:r>
          </w:p>
        </w:tc>
      </w:tr>
    </w:tbl>
    <w:p w:rsidR="00FB4D79" w:rsidRDefault="00FB4D79" w:rsidP="00BD24DA">
      <w:pPr>
        <w:spacing w:line="440" w:lineRule="exact"/>
        <w:outlineLvl w:val="1"/>
        <w:rPr>
          <w:rFonts w:ascii="Times New Roman" w:eastAsia="仿宋_GB2312" w:hAnsi="Times New Roman" w:cs="仿宋_GB2312"/>
          <w:bCs/>
          <w:color w:val="000000"/>
          <w:sz w:val="32"/>
          <w:szCs w:val="32"/>
        </w:rPr>
      </w:pPr>
      <w:bookmarkStart w:id="0" w:name="_GoBack"/>
      <w:bookmarkEnd w:id="0"/>
    </w:p>
    <w:sectPr w:rsidR="00FB4D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2AC5"/>
    <w:multiLevelType w:val="singleLevel"/>
    <w:tmpl w:val="7B4E2AC5"/>
    <w:lvl w:ilvl="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420"/>
  <w:drawingGridVerticalSpacing w:val="156"/>
  <w:noPunctuationKerning/>
  <w:characterSpacingControl w:val="compressPunctuation"/>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2"/>
  </w:compat>
  <w:rsids>
    <w:rsidRoot w:val="00FB4D79"/>
    <w:rsid w:val="00BD24DA"/>
    <w:rsid w:val="00FB4D79"/>
    <w:rsid w:val="02AD48B5"/>
    <w:rsid w:val="04F46186"/>
    <w:rsid w:val="087427CD"/>
    <w:rsid w:val="3D632E38"/>
    <w:rsid w:val="4C862F4B"/>
    <w:rsid w:val="67E63E11"/>
    <w:rsid w:val="6C3408B7"/>
    <w:rsid w:val="6D6476F1"/>
    <w:rsid w:val="749D02A8"/>
    <w:rsid w:val="7BEA5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Pr>
      <w:color w:val="0000FF"/>
      <w:u w:val="single"/>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aper.gjnews.cn/gjdb/20221012/html/content_20221012001002.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Company>Lenovo</Company>
  <LinksUpToDate>false</LinksUpToDate>
  <CharactersWithSpaces>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cppcc</dc:creator>
  <cp:lastModifiedBy>惠琅</cp:lastModifiedBy>
  <cp:revision>4</cp:revision>
  <cp:lastPrinted>2024-03-28T09:53:00Z</cp:lastPrinted>
  <dcterms:created xsi:type="dcterms:W3CDTF">2024-01-19T23:43:00Z</dcterms:created>
  <dcterms:modified xsi:type="dcterms:W3CDTF">2024-03-29T03:54:00Z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9A445E690877E3D2E7320566713935B7_31</vt:lpwstr>
  </property>
  <property fmtid="{D5CDD505-2E9C-101B-9397-08002B2CF9AE}" pid="3" name="KSOProductBuildVer">
    <vt:lpwstr>2052-10.8.0.5562</vt:lpwstr>
  </property>
</Properties>
</file>