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7A7" w:rsidRDefault="00F84A3E">
      <w:pPr>
        <w:rPr>
          <w:rFonts w:ascii="Times New Roman" w:eastAsia="黑体" w:hAnsi="Times New Roman" w:cs="黑体"/>
          <w:sz w:val="32"/>
          <w:szCs w:val="32"/>
        </w:rPr>
      </w:pPr>
      <w:r>
        <w:rPr>
          <w:rFonts w:ascii="Times New Roman" w:eastAsia="黑体" w:hAnsi="Times New Roman" w:cs="黑体" w:hint="eastAsia"/>
          <w:sz w:val="32"/>
          <w:szCs w:val="32"/>
        </w:rPr>
        <w:t>附件</w:t>
      </w:r>
      <w:r>
        <w:rPr>
          <w:rFonts w:ascii="Times New Roman" w:eastAsia="黑体" w:hAnsi="Times New Roman" w:cs="黑体" w:hint="eastAsia"/>
          <w:sz w:val="32"/>
          <w:szCs w:val="32"/>
        </w:rPr>
        <w:t xml:space="preserve">2 </w:t>
      </w:r>
    </w:p>
    <w:p w:rsidR="006D07A7" w:rsidRDefault="00F84A3E">
      <w:pPr>
        <w:jc w:val="center"/>
        <w:rPr>
          <w:rFonts w:ascii="Times New Roman" w:eastAsia="方正小标宋简体" w:hAnsi="Times New Roman"/>
          <w:sz w:val="40"/>
          <w:szCs w:val="40"/>
        </w:rPr>
      </w:pPr>
      <w:r>
        <w:rPr>
          <w:rFonts w:ascii="Times New Roman" w:eastAsia="方正小标宋简体" w:hAnsi="Times New Roman" w:hint="eastAsia"/>
          <w:sz w:val="40"/>
          <w:szCs w:val="40"/>
        </w:rPr>
        <w:t>第二十五届全国政协好新闻参评作品推荐表</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9"/>
        <w:gridCol w:w="1188"/>
        <w:gridCol w:w="1111"/>
        <w:gridCol w:w="1462"/>
        <w:gridCol w:w="1435"/>
        <w:gridCol w:w="2789"/>
      </w:tblGrid>
      <w:tr w:rsidR="006D07A7">
        <w:trPr>
          <w:cantSplit/>
          <w:trHeight w:hRule="exact" w:val="432"/>
        </w:trPr>
        <w:tc>
          <w:tcPr>
            <w:tcW w:w="1639" w:type="dxa"/>
            <w:vMerge w:val="restart"/>
            <w:vAlign w:val="center"/>
          </w:tcPr>
          <w:p w:rsidR="006D07A7" w:rsidRDefault="00F84A3E">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作品标题</w:t>
            </w:r>
          </w:p>
        </w:tc>
        <w:tc>
          <w:tcPr>
            <w:tcW w:w="3761" w:type="dxa"/>
            <w:gridSpan w:val="3"/>
            <w:vMerge w:val="restart"/>
            <w:vAlign w:val="center"/>
          </w:tcPr>
          <w:p w:rsidR="0010328C" w:rsidRDefault="0010328C">
            <w:pPr>
              <w:spacing w:line="260" w:lineRule="exact"/>
              <w:rPr>
                <w:rFonts w:ascii="Times New Roman" w:eastAsia="仿宋_GB2312" w:hAnsi="Times New Roman" w:cs="仿宋_GB2312" w:hint="eastAsia"/>
                <w:color w:val="000000"/>
                <w:sz w:val="28"/>
                <w:szCs w:val="22"/>
              </w:rPr>
            </w:pPr>
          </w:p>
          <w:p w:rsidR="006D07A7" w:rsidRPr="0010328C" w:rsidRDefault="00F84A3E">
            <w:pPr>
              <w:spacing w:line="260" w:lineRule="exact"/>
              <w:rPr>
                <w:rFonts w:ascii="Times New Roman" w:eastAsia="仿宋_GB2312" w:hAnsi="Times New Roman" w:cs="仿宋_GB2312"/>
                <w:color w:val="000000"/>
                <w:sz w:val="24"/>
                <w:szCs w:val="22"/>
              </w:rPr>
            </w:pPr>
            <w:r w:rsidRPr="0010328C">
              <w:rPr>
                <w:rFonts w:ascii="Times New Roman" w:eastAsia="仿宋_GB2312" w:hAnsi="Times New Roman" w:cs="仿宋_GB2312" w:hint="eastAsia"/>
                <w:color w:val="000000"/>
                <w:sz w:val="24"/>
                <w:szCs w:val="22"/>
              </w:rPr>
              <w:t>枝繁叶茂从“根”来——破解市县政协“两个薄弱”问题的陕西探索</w:t>
            </w:r>
          </w:p>
          <w:p w:rsidR="006D07A7" w:rsidRDefault="006D07A7">
            <w:pPr>
              <w:spacing w:line="260" w:lineRule="exact"/>
              <w:rPr>
                <w:rFonts w:ascii="Times New Roman" w:eastAsia="黑体" w:hAnsi="Times New Roman" w:cs="黑体"/>
                <w:color w:val="000000"/>
                <w:sz w:val="28"/>
                <w:szCs w:val="22"/>
              </w:rPr>
            </w:pPr>
          </w:p>
        </w:tc>
        <w:tc>
          <w:tcPr>
            <w:tcW w:w="1435" w:type="dxa"/>
            <w:vAlign w:val="center"/>
          </w:tcPr>
          <w:p w:rsidR="006D07A7" w:rsidRDefault="00F84A3E">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参评项目</w:t>
            </w:r>
          </w:p>
        </w:tc>
        <w:tc>
          <w:tcPr>
            <w:tcW w:w="2789" w:type="dxa"/>
            <w:vAlign w:val="center"/>
          </w:tcPr>
          <w:p w:rsidR="006D07A7" w:rsidRDefault="00F84A3E">
            <w:pP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通讯</w:t>
            </w:r>
          </w:p>
        </w:tc>
      </w:tr>
      <w:tr w:rsidR="006D07A7">
        <w:trPr>
          <w:cantSplit/>
          <w:trHeight w:hRule="exact" w:val="374"/>
        </w:trPr>
        <w:tc>
          <w:tcPr>
            <w:tcW w:w="1639" w:type="dxa"/>
            <w:vMerge/>
            <w:vAlign w:val="center"/>
          </w:tcPr>
          <w:p w:rsidR="006D07A7" w:rsidRDefault="006D07A7">
            <w:pPr>
              <w:spacing w:line="380" w:lineRule="exact"/>
              <w:ind w:firstLine="560"/>
              <w:jc w:val="center"/>
              <w:rPr>
                <w:rFonts w:ascii="Times New Roman" w:eastAsia="黑体" w:hAnsi="Times New Roman" w:cs="黑体"/>
                <w:color w:val="000000"/>
                <w:sz w:val="28"/>
                <w:szCs w:val="22"/>
              </w:rPr>
            </w:pPr>
          </w:p>
        </w:tc>
        <w:tc>
          <w:tcPr>
            <w:tcW w:w="3761" w:type="dxa"/>
            <w:gridSpan w:val="3"/>
            <w:vMerge/>
            <w:vAlign w:val="center"/>
          </w:tcPr>
          <w:p w:rsidR="006D07A7" w:rsidRDefault="006D07A7">
            <w:pPr>
              <w:spacing w:line="380" w:lineRule="exact"/>
              <w:ind w:firstLine="560"/>
              <w:jc w:val="center"/>
              <w:rPr>
                <w:rFonts w:ascii="Times New Roman" w:eastAsia="黑体" w:hAnsi="Times New Roman" w:cs="黑体"/>
                <w:color w:val="000000"/>
                <w:sz w:val="28"/>
                <w:szCs w:val="22"/>
              </w:rPr>
            </w:pPr>
          </w:p>
        </w:tc>
        <w:tc>
          <w:tcPr>
            <w:tcW w:w="1435" w:type="dxa"/>
            <w:vAlign w:val="center"/>
          </w:tcPr>
          <w:p w:rsidR="006D07A7" w:rsidRDefault="00F84A3E">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刊播介质</w:t>
            </w:r>
          </w:p>
        </w:tc>
        <w:tc>
          <w:tcPr>
            <w:tcW w:w="2789" w:type="dxa"/>
            <w:vAlign w:val="center"/>
          </w:tcPr>
          <w:p w:rsidR="006D07A7" w:rsidRDefault="00F84A3E">
            <w:pPr>
              <w:spacing w:line="260" w:lineRule="exact"/>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报纸</w:t>
            </w:r>
          </w:p>
        </w:tc>
      </w:tr>
      <w:tr w:rsidR="006D07A7">
        <w:trPr>
          <w:cantSplit/>
          <w:trHeight w:hRule="exact" w:val="449"/>
        </w:trPr>
        <w:tc>
          <w:tcPr>
            <w:tcW w:w="1639" w:type="dxa"/>
            <w:vMerge/>
            <w:vAlign w:val="center"/>
          </w:tcPr>
          <w:p w:rsidR="006D07A7" w:rsidRDefault="006D07A7">
            <w:pPr>
              <w:spacing w:line="380" w:lineRule="exact"/>
              <w:ind w:firstLine="560"/>
              <w:jc w:val="center"/>
              <w:rPr>
                <w:rFonts w:ascii="Times New Roman" w:eastAsia="黑体" w:hAnsi="Times New Roman" w:cs="黑体"/>
                <w:color w:val="000000"/>
                <w:sz w:val="28"/>
                <w:szCs w:val="22"/>
              </w:rPr>
            </w:pPr>
          </w:p>
        </w:tc>
        <w:tc>
          <w:tcPr>
            <w:tcW w:w="3761" w:type="dxa"/>
            <w:gridSpan w:val="3"/>
            <w:vMerge/>
            <w:vAlign w:val="center"/>
          </w:tcPr>
          <w:p w:rsidR="006D07A7" w:rsidRDefault="006D07A7">
            <w:pPr>
              <w:spacing w:line="380" w:lineRule="exact"/>
              <w:ind w:firstLine="560"/>
              <w:jc w:val="center"/>
              <w:rPr>
                <w:rFonts w:ascii="Times New Roman" w:eastAsia="黑体" w:hAnsi="Times New Roman" w:cs="黑体"/>
                <w:color w:val="000000"/>
                <w:sz w:val="28"/>
                <w:szCs w:val="22"/>
              </w:rPr>
            </w:pPr>
          </w:p>
        </w:tc>
        <w:tc>
          <w:tcPr>
            <w:tcW w:w="1435" w:type="dxa"/>
            <w:vAlign w:val="center"/>
          </w:tcPr>
          <w:p w:rsidR="006D07A7" w:rsidRDefault="00F84A3E">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语种</w:t>
            </w:r>
          </w:p>
        </w:tc>
        <w:tc>
          <w:tcPr>
            <w:tcW w:w="2789" w:type="dxa"/>
            <w:vAlign w:val="center"/>
          </w:tcPr>
          <w:p w:rsidR="006D07A7" w:rsidRDefault="006D07A7">
            <w:pPr>
              <w:spacing w:line="240" w:lineRule="atLeast"/>
              <w:rPr>
                <w:rFonts w:ascii="Times New Roman" w:eastAsia="黑体" w:hAnsi="Times New Roman" w:cs="黑体"/>
                <w:color w:val="000000"/>
                <w:sz w:val="28"/>
                <w:szCs w:val="22"/>
              </w:rPr>
            </w:pPr>
          </w:p>
        </w:tc>
      </w:tr>
      <w:tr w:rsidR="006D07A7">
        <w:trPr>
          <w:trHeight w:val="845"/>
        </w:trPr>
        <w:tc>
          <w:tcPr>
            <w:tcW w:w="1639" w:type="dxa"/>
            <w:vAlign w:val="center"/>
          </w:tcPr>
          <w:p w:rsidR="006D07A7" w:rsidRDefault="00F84A3E">
            <w:pPr>
              <w:spacing w:line="320" w:lineRule="exact"/>
              <w:jc w:val="center"/>
              <w:rPr>
                <w:rFonts w:ascii="Times New Roman" w:eastAsia="黑体" w:hAnsi="Times New Roman" w:cs="黑体"/>
                <w:color w:val="000000"/>
                <w:spacing w:val="-12"/>
                <w:sz w:val="28"/>
                <w:szCs w:val="22"/>
              </w:rPr>
            </w:pPr>
            <w:r>
              <w:rPr>
                <w:rFonts w:ascii="Times New Roman" w:eastAsia="黑体" w:hAnsi="Times New Roman" w:cs="黑体" w:hint="eastAsia"/>
                <w:color w:val="000000"/>
                <w:spacing w:val="-12"/>
                <w:sz w:val="28"/>
                <w:szCs w:val="22"/>
              </w:rPr>
              <w:t>作</w:t>
            </w:r>
            <w:r>
              <w:rPr>
                <w:rFonts w:ascii="Times New Roman" w:eastAsia="黑体" w:hAnsi="Times New Roman" w:cs="黑体" w:hint="eastAsia"/>
                <w:color w:val="000000"/>
                <w:spacing w:val="-12"/>
                <w:sz w:val="28"/>
                <w:szCs w:val="22"/>
              </w:rPr>
              <w:t xml:space="preserve">  </w:t>
            </w:r>
            <w:r>
              <w:rPr>
                <w:rFonts w:ascii="Times New Roman" w:eastAsia="黑体" w:hAnsi="Times New Roman" w:cs="黑体" w:hint="eastAsia"/>
                <w:color w:val="000000"/>
                <w:spacing w:val="-12"/>
                <w:sz w:val="28"/>
                <w:szCs w:val="22"/>
              </w:rPr>
              <w:t>者</w:t>
            </w:r>
          </w:p>
          <w:p w:rsidR="006D07A7" w:rsidRDefault="00F84A3E">
            <w:pPr>
              <w:spacing w:line="320" w:lineRule="exact"/>
              <w:jc w:val="center"/>
              <w:rPr>
                <w:rFonts w:ascii="Times New Roman" w:eastAsia="黑体" w:hAnsi="Times New Roman" w:cs="黑体"/>
                <w:color w:val="000000"/>
                <w:spacing w:val="-12"/>
                <w:sz w:val="24"/>
                <w:szCs w:val="22"/>
              </w:rPr>
            </w:pPr>
            <w:r>
              <w:rPr>
                <w:rFonts w:ascii="Times New Roman" w:eastAsia="黑体" w:hAnsi="Times New Roman" w:cs="黑体" w:hint="eastAsia"/>
                <w:color w:val="000000"/>
                <w:spacing w:val="-12"/>
                <w:sz w:val="24"/>
                <w:szCs w:val="22"/>
              </w:rPr>
              <w:t>（主创人员）</w:t>
            </w:r>
          </w:p>
        </w:tc>
        <w:tc>
          <w:tcPr>
            <w:tcW w:w="2299" w:type="dxa"/>
            <w:gridSpan w:val="2"/>
            <w:vAlign w:val="center"/>
          </w:tcPr>
          <w:p w:rsidR="006D07A7" w:rsidRDefault="00F84A3E">
            <w:pPr>
              <w:spacing w:line="260" w:lineRule="exact"/>
              <w:ind w:firstLineChars="200" w:firstLine="560"/>
              <w:rPr>
                <w:rFonts w:ascii="Times New Roman" w:eastAsia="仿宋_GB2312" w:hAnsi="Times New Roman" w:cs="仿宋_GB2312"/>
                <w:color w:val="000000"/>
                <w:sz w:val="28"/>
                <w:szCs w:val="22"/>
              </w:rPr>
            </w:pPr>
            <w:r>
              <w:rPr>
                <w:rFonts w:ascii="Times New Roman" w:eastAsia="仿宋_GB2312" w:hAnsi="Times New Roman" w:cs="仿宋_GB2312" w:hint="eastAsia"/>
                <w:color w:val="000000"/>
                <w:sz w:val="28"/>
                <w:szCs w:val="22"/>
              </w:rPr>
              <w:t>刘枫</w:t>
            </w:r>
          </w:p>
        </w:tc>
        <w:tc>
          <w:tcPr>
            <w:tcW w:w="1462" w:type="dxa"/>
            <w:vAlign w:val="center"/>
          </w:tcPr>
          <w:p w:rsidR="006D07A7" w:rsidRDefault="00F84A3E">
            <w:pPr>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编辑</w:t>
            </w:r>
          </w:p>
        </w:tc>
        <w:tc>
          <w:tcPr>
            <w:tcW w:w="4224" w:type="dxa"/>
            <w:gridSpan w:val="2"/>
            <w:vAlign w:val="center"/>
          </w:tcPr>
          <w:p w:rsidR="006D07A7" w:rsidRDefault="00F84A3E">
            <w:pPr>
              <w:spacing w:line="240" w:lineRule="exact"/>
              <w:rPr>
                <w:rFonts w:ascii="Times New Roman" w:eastAsia="仿宋_GB2312" w:hAnsi="Times New Roman" w:cs="仿宋_GB2312"/>
                <w:color w:val="000000"/>
                <w:w w:val="95"/>
                <w:szCs w:val="21"/>
              </w:rPr>
            </w:pPr>
            <w:r>
              <w:rPr>
                <w:rFonts w:ascii="Times New Roman" w:eastAsia="仿宋_GB2312" w:hAnsi="Times New Roman" w:cs="仿宋_GB2312" w:hint="eastAsia"/>
                <w:color w:val="000000"/>
                <w:sz w:val="28"/>
                <w:szCs w:val="22"/>
              </w:rPr>
              <w:t>齐小英</w:t>
            </w:r>
            <w:r>
              <w:rPr>
                <w:rFonts w:ascii="Times New Roman" w:eastAsia="仿宋_GB2312" w:hAnsi="Times New Roman" w:cs="仿宋_GB2312" w:hint="eastAsia"/>
                <w:color w:val="000000"/>
                <w:sz w:val="28"/>
                <w:szCs w:val="22"/>
              </w:rPr>
              <w:t xml:space="preserve"> </w:t>
            </w:r>
            <w:r>
              <w:rPr>
                <w:rFonts w:ascii="Times New Roman" w:eastAsia="仿宋_GB2312" w:hAnsi="Times New Roman" w:cs="仿宋_GB2312" w:hint="eastAsia"/>
                <w:color w:val="000000"/>
                <w:sz w:val="28"/>
                <w:szCs w:val="22"/>
              </w:rPr>
              <w:t>曹莉</w:t>
            </w:r>
          </w:p>
        </w:tc>
      </w:tr>
      <w:tr w:rsidR="006D07A7">
        <w:trPr>
          <w:cantSplit/>
          <w:trHeight w:val="605"/>
        </w:trPr>
        <w:tc>
          <w:tcPr>
            <w:tcW w:w="1639" w:type="dxa"/>
            <w:vAlign w:val="center"/>
          </w:tcPr>
          <w:p w:rsidR="006D07A7" w:rsidRDefault="00F84A3E">
            <w:pPr>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刊播单位</w:t>
            </w:r>
          </w:p>
        </w:tc>
        <w:tc>
          <w:tcPr>
            <w:tcW w:w="2299" w:type="dxa"/>
            <w:gridSpan w:val="2"/>
            <w:vAlign w:val="center"/>
          </w:tcPr>
          <w:p w:rsidR="006D07A7" w:rsidRDefault="00F84A3E">
            <w:pPr>
              <w:spacing w:line="260" w:lineRule="exact"/>
              <w:ind w:firstLine="420"/>
              <w:rPr>
                <w:rFonts w:ascii="Times New Roman" w:eastAsia="仿宋_GB2312" w:hAnsi="Times New Roman" w:cs="仿宋_GB2312"/>
                <w:color w:val="000000"/>
                <w:szCs w:val="21"/>
              </w:rPr>
            </w:pPr>
            <w:r>
              <w:rPr>
                <w:rFonts w:ascii="Times New Roman" w:eastAsia="仿宋_GB2312" w:hAnsi="Times New Roman" w:cs="仿宋_GB2312" w:hint="eastAsia"/>
                <w:color w:val="000000"/>
                <w:sz w:val="28"/>
                <w:szCs w:val="22"/>
              </w:rPr>
              <w:t>陕西日报</w:t>
            </w:r>
          </w:p>
        </w:tc>
        <w:tc>
          <w:tcPr>
            <w:tcW w:w="1462" w:type="dxa"/>
            <w:vAlign w:val="center"/>
          </w:tcPr>
          <w:p w:rsidR="006D07A7" w:rsidRDefault="00F84A3E">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刊播日期</w:t>
            </w:r>
          </w:p>
        </w:tc>
        <w:tc>
          <w:tcPr>
            <w:tcW w:w="4224" w:type="dxa"/>
            <w:gridSpan w:val="2"/>
            <w:vAlign w:val="center"/>
          </w:tcPr>
          <w:p w:rsidR="006D07A7" w:rsidRDefault="00F84A3E">
            <w:pPr>
              <w:spacing w:line="260" w:lineRule="exact"/>
              <w:rPr>
                <w:rFonts w:ascii="Times New Roman" w:eastAsia="仿宋_GB2312" w:hAnsi="Times New Roman" w:cs="仿宋_GB2312"/>
                <w:color w:val="000000"/>
                <w:sz w:val="18"/>
                <w:szCs w:val="18"/>
                <w:highlight w:val="green"/>
              </w:rPr>
            </w:pPr>
            <w:r>
              <w:rPr>
                <w:rFonts w:ascii="仿宋_GB2312" w:eastAsia="仿宋_GB2312" w:hAnsi="仿宋_GB2312" w:cs="仿宋_GB2312" w:hint="eastAsia"/>
                <w:color w:val="000000"/>
                <w:sz w:val="28"/>
                <w:szCs w:val="28"/>
              </w:rPr>
              <w:t>2023</w:t>
            </w:r>
            <w:r>
              <w:rPr>
                <w:rFonts w:ascii="仿宋_GB2312" w:eastAsia="仿宋_GB2312" w:hAnsi="仿宋_GB2312" w:cs="仿宋_GB2312" w:hint="eastAsia"/>
                <w:color w:val="000000"/>
                <w:sz w:val="28"/>
                <w:szCs w:val="28"/>
                <w:lang w:eastAsia="zh-Hans"/>
              </w:rPr>
              <w:t>年6月1</w:t>
            </w:r>
            <w:r>
              <w:rPr>
                <w:rFonts w:ascii="仿宋_GB2312" w:eastAsia="仿宋_GB2312" w:hAnsi="仿宋_GB2312" w:cs="仿宋_GB2312" w:hint="eastAsia"/>
                <w:color w:val="000000"/>
                <w:sz w:val="28"/>
                <w:szCs w:val="28"/>
              </w:rPr>
              <w:t>2</w:t>
            </w:r>
            <w:r>
              <w:rPr>
                <w:rFonts w:ascii="仿宋_GB2312" w:eastAsia="仿宋_GB2312" w:hAnsi="仿宋_GB2312" w:cs="仿宋_GB2312" w:hint="eastAsia"/>
                <w:color w:val="000000"/>
                <w:sz w:val="28"/>
                <w:szCs w:val="28"/>
                <w:lang w:eastAsia="zh-Hans"/>
              </w:rPr>
              <w:t>日</w:t>
            </w:r>
          </w:p>
        </w:tc>
      </w:tr>
      <w:tr w:rsidR="006D07A7">
        <w:trPr>
          <w:cantSplit/>
          <w:trHeight w:hRule="exact" w:val="1046"/>
        </w:trPr>
        <w:tc>
          <w:tcPr>
            <w:tcW w:w="1639" w:type="dxa"/>
            <w:vAlign w:val="center"/>
          </w:tcPr>
          <w:p w:rsidR="006D07A7" w:rsidRDefault="00F84A3E">
            <w:pPr>
              <w:spacing w:line="4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刊播版面</w:t>
            </w:r>
            <w:r>
              <w:rPr>
                <w:rFonts w:ascii="Times New Roman" w:eastAsia="黑体" w:hAnsi="Times New Roman" w:cs="黑体" w:hint="eastAsia"/>
                <w:color w:val="000000"/>
                <w:spacing w:val="-12"/>
                <w:sz w:val="28"/>
                <w:szCs w:val="22"/>
              </w:rPr>
              <w:t>(</w:t>
            </w:r>
            <w:r>
              <w:rPr>
                <w:rFonts w:ascii="Times New Roman" w:eastAsia="黑体" w:hAnsi="Times New Roman" w:cs="黑体" w:hint="eastAsia"/>
                <w:color w:val="000000"/>
                <w:spacing w:val="-12"/>
                <w:sz w:val="24"/>
                <w:szCs w:val="22"/>
              </w:rPr>
              <w:t>名称和版次</w:t>
            </w:r>
            <w:r>
              <w:rPr>
                <w:rFonts w:ascii="Times New Roman" w:eastAsia="黑体" w:hAnsi="Times New Roman" w:cs="黑体" w:hint="eastAsia"/>
                <w:color w:val="000000"/>
                <w:spacing w:val="-12"/>
                <w:sz w:val="24"/>
                <w:szCs w:val="22"/>
              </w:rPr>
              <w:t>)</w:t>
            </w:r>
          </w:p>
        </w:tc>
        <w:tc>
          <w:tcPr>
            <w:tcW w:w="2299" w:type="dxa"/>
            <w:gridSpan w:val="2"/>
            <w:vAlign w:val="center"/>
          </w:tcPr>
          <w:p w:rsidR="006D07A7" w:rsidRDefault="00F84A3E">
            <w:pPr>
              <w:spacing w:line="260" w:lineRule="exact"/>
              <w:jc w:val="center"/>
              <w:rPr>
                <w:rFonts w:ascii="Times New Roman" w:eastAsia="仿宋_GB2312" w:hAnsi="Times New Roman" w:cs="仿宋_GB2312"/>
                <w:color w:val="000000"/>
                <w:szCs w:val="21"/>
              </w:rPr>
            </w:pPr>
            <w:r>
              <w:rPr>
                <w:rFonts w:ascii="仿宋_GB2312" w:eastAsia="仿宋_GB2312" w:hAnsi="仿宋_GB2312" w:cs="仿宋_GB2312" w:hint="eastAsia"/>
                <w:color w:val="000000"/>
                <w:sz w:val="28"/>
                <w:szCs w:val="28"/>
              </w:rPr>
              <w:t>要闻1</w:t>
            </w:r>
            <w:r>
              <w:rPr>
                <w:rFonts w:ascii="仿宋_GB2312" w:eastAsia="仿宋_GB2312" w:hAnsi="仿宋_GB2312" w:cs="仿宋_GB2312" w:hint="eastAsia"/>
                <w:color w:val="000000"/>
                <w:sz w:val="28"/>
                <w:szCs w:val="28"/>
                <w:lang w:eastAsia="zh-Hans"/>
              </w:rPr>
              <w:t>版</w:t>
            </w:r>
          </w:p>
        </w:tc>
        <w:tc>
          <w:tcPr>
            <w:tcW w:w="1462" w:type="dxa"/>
            <w:vAlign w:val="center"/>
          </w:tcPr>
          <w:p w:rsidR="006D07A7" w:rsidRDefault="00F84A3E">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作品字数</w:t>
            </w:r>
          </w:p>
          <w:p w:rsidR="006D07A7" w:rsidRDefault="00F84A3E">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（时长）</w:t>
            </w:r>
          </w:p>
        </w:tc>
        <w:tc>
          <w:tcPr>
            <w:tcW w:w="4224" w:type="dxa"/>
            <w:gridSpan w:val="2"/>
            <w:vAlign w:val="center"/>
          </w:tcPr>
          <w:p w:rsidR="006D07A7" w:rsidRDefault="00F84A3E">
            <w:pPr>
              <w:spacing w:line="260" w:lineRule="exact"/>
              <w:rPr>
                <w:rFonts w:ascii="Times New Roman" w:eastAsia="仿宋_GB2312" w:hAnsi="Times New Roman" w:cs="仿宋_GB2312"/>
                <w:color w:val="000000"/>
                <w:szCs w:val="21"/>
              </w:rPr>
            </w:pPr>
            <w:r>
              <w:rPr>
                <w:rFonts w:ascii="仿宋_GB2312" w:eastAsia="仿宋_GB2312" w:hAnsi="仿宋_GB2312" w:cs="仿宋_GB2312" w:hint="eastAsia"/>
                <w:color w:val="000000"/>
                <w:sz w:val="28"/>
                <w:szCs w:val="28"/>
              </w:rPr>
              <w:t>2695字</w:t>
            </w:r>
            <w:bookmarkStart w:id="0" w:name="_GoBack"/>
            <w:bookmarkEnd w:id="0"/>
          </w:p>
        </w:tc>
      </w:tr>
      <w:tr w:rsidR="006D07A7">
        <w:trPr>
          <w:cantSplit/>
          <w:trHeight w:hRule="exact" w:val="569"/>
        </w:trPr>
        <w:tc>
          <w:tcPr>
            <w:tcW w:w="2827" w:type="dxa"/>
            <w:gridSpan w:val="2"/>
            <w:vAlign w:val="center"/>
          </w:tcPr>
          <w:p w:rsidR="006D07A7" w:rsidRDefault="00F84A3E">
            <w:pPr>
              <w:spacing w:line="340" w:lineRule="exact"/>
              <w:rPr>
                <w:rFonts w:ascii="Times New Roman" w:hAnsi="Times New Roman"/>
                <w:color w:val="000000"/>
                <w:szCs w:val="21"/>
              </w:rPr>
            </w:pPr>
            <w:r>
              <w:rPr>
                <w:rFonts w:ascii="Times New Roman" w:eastAsia="黑体" w:hAnsi="Times New Roman" w:cs="黑体" w:hint="eastAsia"/>
                <w:color w:val="000000"/>
                <w:sz w:val="28"/>
                <w:szCs w:val="22"/>
              </w:rPr>
              <w:t>新媒体作品填报网址</w:t>
            </w:r>
          </w:p>
        </w:tc>
        <w:tc>
          <w:tcPr>
            <w:tcW w:w="6797" w:type="dxa"/>
            <w:gridSpan w:val="4"/>
            <w:vAlign w:val="center"/>
          </w:tcPr>
          <w:p w:rsidR="00F84A3E" w:rsidRPr="00F84A3E" w:rsidRDefault="008615E7" w:rsidP="00F84A3E">
            <w:pPr>
              <w:spacing w:line="260" w:lineRule="exact"/>
            </w:pPr>
            <w:hyperlink r:id="rId8" w:history="1">
              <w:r w:rsidR="00F84A3E" w:rsidRPr="00AB1094">
                <w:rPr>
                  <w:rStyle w:val="a6"/>
                  <w:rFonts w:ascii="Times New Roman" w:eastAsia="华文中宋" w:hAnsi="Times New Roman"/>
                  <w:sz w:val="28"/>
                  <w:szCs w:val="22"/>
                </w:rPr>
                <w:t>https://esb.sxdaily.com.cn/pc/content/202306/12/content_810985.html</w:t>
              </w:r>
            </w:hyperlink>
          </w:p>
        </w:tc>
      </w:tr>
      <w:tr w:rsidR="006D07A7">
        <w:trPr>
          <w:cantSplit/>
          <w:trHeight w:val="1730"/>
        </w:trPr>
        <w:tc>
          <w:tcPr>
            <w:tcW w:w="1639" w:type="dxa"/>
            <w:vAlign w:val="center"/>
          </w:tcPr>
          <w:p w:rsidR="006D07A7" w:rsidRDefault="00F84A3E">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 xml:space="preserve">  </w:t>
            </w:r>
            <w:r>
              <w:rPr>
                <w:rFonts w:ascii="Times New Roman" w:eastAsia="黑体" w:hAnsi="Times New Roman" w:cs="黑体" w:hint="eastAsia"/>
                <w:color w:val="000000"/>
                <w:sz w:val="28"/>
                <w:szCs w:val="22"/>
              </w:rPr>
              <w:t>︵</w:t>
            </w:r>
          </w:p>
          <w:p w:rsidR="006D07A7" w:rsidRDefault="00F84A3E">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作采</w:t>
            </w:r>
          </w:p>
          <w:p w:rsidR="006D07A7" w:rsidRDefault="00F84A3E">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品编</w:t>
            </w:r>
          </w:p>
          <w:p w:rsidR="006D07A7" w:rsidRDefault="00F84A3E">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简过</w:t>
            </w:r>
          </w:p>
          <w:p w:rsidR="006D07A7" w:rsidRDefault="00F84A3E">
            <w:pPr>
              <w:spacing w:line="340" w:lineRule="exact"/>
              <w:jc w:val="center"/>
              <w:rPr>
                <w:rFonts w:ascii="Times New Roman" w:eastAsia="黑体" w:hAnsi="Times New Roman" w:cs="黑体"/>
                <w:color w:val="000000"/>
                <w:sz w:val="28"/>
                <w:szCs w:val="22"/>
              </w:rPr>
            </w:pPr>
            <w:proofErr w:type="gramStart"/>
            <w:r>
              <w:rPr>
                <w:rFonts w:ascii="Times New Roman" w:eastAsia="黑体" w:hAnsi="Times New Roman" w:cs="黑体" w:hint="eastAsia"/>
                <w:color w:val="000000"/>
                <w:sz w:val="28"/>
                <w:szCs w:val="22"/>
              </w:rPr>
              <w:t>介</w:t>
            </w:r>
            <w:proofErr w:type="gramEnd"/>
            <w:r>
              <w:rPr>
                <w:rFonts w:ascii="Times New Roman" w:eastAsia="黑体" w:hAnsi="Times New Roman" w:cs="黑体" w:hint="eastAsia"/>
                <w:color w:val="000000"/>
                <w:sz w:val="28"/>
                <w:szCs w:val="22"/>
              </w:rPr>
              <w:t>程</w:t>
            </w:r>
          </w:p>
          <w:p w:rsidR="006D07A7" w:rsidRDefault="00F84A3E">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 xml:space="preserve">  </w:t>
            </w:r>
            <w:r>
              <w:rPr>
                <w:rFonts w:ascii="Times New Roman" w:eastAsia="黑体" w:hAnsi="Times New Roman" w:cs="黑体" w:hint="eastAsia"/>
                <w:color w:val="000000"/>
                <w:sz w:val="28"/>
                <w:szCs w:val="22"/>
              </w:rPr>
              <w:t>︶</w:t>
            </w:r>
          </w:p>
        </w:tc>
        <w:tc>
          <w:tcPr>
            <w:tcW w:w="7985" w:type="dxa"/>
            <w:gridSpan w:val="5"/>
            <w:vAlign w:val="center"/>
          </w:tcPr>
          <w:p w:rsidR="006D07A7" w:rsidRDefault="00F84A3E">
            <w:pPr>
              <w:spacing w:line="360" w:lineRule="exact"/>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习近平总书记在中央政协工作会议上强调,重点解决市县政协基础工作薄弱、人员力量薄弱的问题。近年来，陕西深入贯彻落</w:t>
            </w:r>
            <w:proofErr w:type="gramStart"/>
            <w:r>
              <w:rPr>
                <w:rFonts w:ascii="仿宋_GB2312" w:eastAsia="仿宋_GB2312" w:hAnsi="仿宋_GB2312" w:cs="仿宋_GB2312" w:hint="eastAsia"/>
                <w:sz w:val="28"/>
                <w:szCs w:val="28"/>
              </w:rPr>
              <w:t>实习近</w:t>
            </w:r>
            <w:proofErr w:type="gramEnd"/>
            <w:r>
              <w:rPr>
                <w:rFonts w:ascii="仿宋_GB2312" w:eastAsia="仿宋_GB2312" w:hAnsi="仿宋_GB2312" w:cs="仿宋_GB2312" w:hint="eastAsia"/>
                <w:sz w:val="28"/>
                <w:szCs w:val="28"/>
              </w:rPr>
              <w:t>平总书记关于加强和改进人民政协工作的重要思想和中央政协工作会议精神，出台《关于加强和改进新时代市县政协工作的若干措施》，创新“秦商量”、书香政协、委员工作日等经验做法，着力推动工作机制创新、工作活力迸发、工作效能提升、工作作风转变，不断开创了新时代人民政协事业新局面。获得线索后，记者深入陕西各地，采访省市县多级政协破解市县政协“两个薄弱”问题的经验做法、鲜活故事、实际成效，并完成稿件。</w:t>
            </w:r>
          </w:p>
        </w:tc>
      </w:tr>
      <w:tr w:rsidR="006D07A7">
        <w:trPr>
          <w:cantSplit/>
          <w:trHeight w:hRule="exact" w:val="2062"/>
        </w:trPr>
        <w:tc>
          <w:tcPr>
            <w:tcW w:w="1639" w:type="dxa"/>
            <w:vAlign w:val="center"/>
          </w:tcPr>
          <w:p w:rsidR="006D07A7" w:rsidRDefault="00F84A3E">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社</w:t>
            </w:r>
          </w:p>
          <w:p w:rsidR="006D07A7" w:rsidRDefault="00F84A3E">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会</w:t>
            </w:r>
          </w:p>
          <w:p w:rsidR="006D07A7" w:rsidRDefault="00F84A3E">
            <w:pPr>
              <w:spacing w:line="380" w:lineRule="exact"/>
              <w:jc w:val="center"/>
              <w:rPr>
                <w:rFonts w:ascii="Times New Roman" w:eastAsia="黑体" w:hAnsi="Times New Roman" w:cs="黑体"/>
                <w:color w:val="000000"/>
                <w:sz w:val="28"/>
                <w:szCs w:val="22"/>
              </w:rPr>
            </w:pPr>
            <w:proofErr w:type="gramStart"/>
            <w:r>
              <w:rPr>
                <w:rFonts w:ascii="Times New Roman" w:eastAsia="黑体" w:hAnsi="Times New Roman" w:cs="黑体" w:hint="eastAsia"/>
                <w:color w:val="000000"/>
                <w:sz w:val="28"/>
                <w:szCs w:val="22"/>
              </w:rPr>
              <w:t>效</w:t>
            </w:r>
            <w:proofErr w:type="gramEnd"/>
          </w:p>
          <w:p w:rsidR="006D07A7" w:rsidRDefault="00F84A3E">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果</w:t>
            </w:r>
          </w:p>
        </w:tc>
        <w:tc>
          <w:tcPr>
            <w:tcW w:w="7985" w:type="dxa"/>
            <w:gridSpan w:val="5"/>
            <w:vAlign w:val="center"/>
          </w:tcPr>
          <w:p w:rsidR="006D07A7" w:rsidRDefault="00F84A3E">
            <w:pPr>
              <w:spacing w:line="300" w:lineRule="exact"/>
              <w:ind w:firstLine="420"/>
              <w:rPr>
                <w:rFonts w:ascii="Times New Roman" w:eastAsia="仿宋_GB2312" w:hAnsi="Times New Roman" w:cs="仿宋_GB2312"/>
                <w:color w:val="000000"/>
                <w:szCs w:val="21"/>
              </w:rPr>
            </w:pPr>
            <w:r>
              <w:rPr>
                <w:rFonts w:ascii="仿宋_GB2312" w:eastAsia="仿宋_GB2312" w:hAnsi="仿宋_GB2312" w:cs="仿宋_GB2312" w:hint="eastAsia"/>
                <w:sz w:val="28"/>
                <w:szCs w:val="28"/>
              </w:rPr>
              <w:t>稿件刊发后，被政协联线、搜狐网、陕西网等媒体广泛转载，</w:t>
            </w:r>
            <w:r>
              <w:rPr>
                <w:rFonts w:ascii="仿宋_GB2312" w:eastAsia="仿宋_GB2312" w:hAnsi="仿宋_GB2312" w:cs="仿宋_GB2312" w:hint="eastAsia"/>
                <w:sz w:val="28"/>
                <w:szCs w:val="28"/>
                <w:lang w:eastAsia="zh-Hans"/>
              </w:rPr>
              <w:t>取得了</w:t>
            </w:r>
            <w:r>
              <w:rPr>
                <w:rFonts w:ascii="仿宋_GB2312" w:eastAsia="仿宋_GB2312" w:hAnsi="仿宋_GB2312" w:cs="仿宋_GB2312" w:hint="eastAsia"/>
                <w:sz w:val="28"/>
                <w:szCs w:val="28"/>
              </w:rPr>
              <w:t>良好的社会宣传效果，为陕西乃至其他省份解决市县政协基础工作薄弱、人员力量薄弱的问题提供了借鉴，具有重要意义。</w:t>
            </w:r>
          </w:p>
        </w:tc>
      </w:tr>
    </w:tbl>
    <w:p w:rsidR="006D07A7" w:rsidRDefault="006D07A7" w:rsidP="004E5B7E">
      <w:pPr>
        <w:spacing w:afterLines="50" w:after="156"/>
        <w:jc w:val="center"/>
        <w:rPr>
          <w:rFonts w:ascii="Times New Roman" w:eastAsia="仿宋_GB2312" w:hAnsi="Times New Roman" w:cs="仿宋_GB2312"/>
          <w:bCs/>
          <w:color w:val="000000"/>
          <w:sz w:val="32"/>
          <w:szCs w:val="32"/>
        </w:rPr>
      </w:pPr>
    </w:p>
    <w:sectPr w:rsidR="006D07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5E7" w:rsidRDefault="008615E7" w:rsidP="0010328C">
      <w:r>
        <w:separator/>
      </w:r>
    </w:p>
  </w:endnote>
  <w:endnote w:type="continuationSeparator" w:id="0">
    <w:p w:rsidR="008615E7" w:rsidRDefault="008615E7" w:rsidP="00103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5E7" w:rsidRDefault="008615E7" w:rsidP="0010328C">
      <w:r>
        <w:separator/>
      </w:r>
    </w:p>
  </w:footnote>
  <w:footnote w:type="continuationSeparator" w:id="0">
    <w:p w:rsidR="008615E7" w:rsidRDefault="008615E7" w:rsidP="001032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E2AC5"/>
    <w:multiLevelType w:val="singleLevel"/>
    <w:tmpl w:val="7B4E2AC5"/>
    <w:lvl w:ilvl="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ZWYzOTQ4YzJlNTg2Y2ZkYTA1NTBkZDY0YzU3MTIifQ=="/>
  </w:docVars>
  <w:rsids>
    <w:rsidRoot w:val="00C4148B"/>
    <w:rsid w:val="FFBF6F61"/>
    <w:rsid w:val="0010328C"/>
    <w:rsid w:val="004E5B7E"/>
    <w:rsid w:val="006D07A7"/>
    <w:rsid w:val="008615E7"/>
    <w:rsid w:val="008D1BBB"/>
    <w:rsid w:val="00C4148B"/>
    <w:rsid w:val="00F84A3E"/>
    <w:rsid w:val="3A1F706B"/>
    <w:rsid w:val="59413C36"/>
    <w:rsid w:val="72F15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Pr>
      <w:rFonts w:ascii="宋体" w:hAnsi="Courier New"/>
    </w:r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qFormat/>
    <w:rPr>
      <w:sz w:val="18"/>
      <w:szCs w:val="18"/>
    </w:rPr>
  </w:style>
  <w:style w:type="character" w:customStyle="1" w:styleId="Char">
    <w:name w:val="页脚 Char"/>
    <w:basedOn w:val="a1"/>
    <w:link w:val="a4"/>
    <w:uiPriority w:val="99"/>
    <w:qFormat/>
    <w:rPr>
      <w:sz w:val="18"/>
      <w:szCs w:val="18"/>
    </w:rPr>
  </w:style>
  <w:style w:type="character" w:styleId="a6">
    <w:name w:val="Hyperlink"/>
    <w:basedOn w:val="a1"/>
    <w:uiPriority w:val="99"/>
    <w:unhideWhenUsed/>
    <w:rsid w:val="00F84A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Pr>
      <w:rFonts w:ascii="宋体" w:hAnsi="Courier New"/>
    </w:rPr>
  </w:style>
  <w:style w:type="paragraph" w:styleId="a4">
    <w:name w:val="footer"/>
    <w:basedOn w:val="a"/>
    <w:link w:val="Char"/>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qFormat/>
    <w:rPr>
      <w:sz w:val="18"/>
      <w:szCs w:val="18"/>
    </w:rPr>
  </w:style>
  <w:style w:type="character" w:customStyle="1" w:styleId="Char">
    <w:name w:val="页脚 Char"/>
    <w:basedOn w:val="a1"/>
    <w:link w:val="a4"/>
    <w:uiPriority w:val="99"/>
    <w:qFormat/>
    <w:rPr>
      <w:sz w:val="18"/>
      <w:szCs w:val="18"/>
    </w:rPr>
  </w:style>
  <w:style w:type="character" w:styleId="a6">
    <w:name w:val="Hyperlink"/>
    <w:basedOn w:val="a1"/>
    <w:uiPriority w:val="99"/>
    <w:unhideWhenUsed/>
    <w:rsid w:val="00F84A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b.sxdaily.com.cn/pc/content/202306/12/content_810985.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105</Words>
  <Characters>604</Characters>
  <Application>Microsoft Office Word</Application>
  <DocSecurity>0</DocSecurity>
  <Lines>5</Lines>
  <Paragraphs>1</Paragraphs>
  <ScaleCrop>false</ScaleCrop>
  <Company>Lenovo</Company>
  <LinksUpToDate>false</LinksUpToDate>
  <CharactersWithSpaces>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cppcc</dc:creator>
  <cp:lastModifiedBy>惠琅</cp:lastModifiedBy>
  <cp:revision>6</cp:revision>
  <dcterms:created xsi:type="dcterms:W3CDTF">2024-01-19T15:43:00Z</dcterms:created>
  <dcterms:modified xsi:type="dcterms:W3CDTF">2024-03-29T05:16:00Z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AFB6CFF7781A4A1F8F6C619B3305AC90_13</vt:lpwstr>
  </property>
</Properties>
</file>